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325BD2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1AA0B80" w:rsidR="00AD4FD2" w:rsidRPr="00A42D69" w:rsidRDefault="00325BD2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2915D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2915DF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2915DF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2915DF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F146103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1D018705" w:rsidR="00976721" w:rsidRPr="002915DF" w:rsidRDefault="00C07F8B" w:rsidP="002915DF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o</w:t>
            </w:r>
            <w:r w:rsidR="00976721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čakávanými</w:t>
            </w:r>
            <w:r w:rsidR="00157279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 xml:space="preserve"> </w:t>
            </w:r>
            <w:r w:rsidR="00976721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výsledkami,</w:t>
            </w:r>
          </w:p>
          <w:p w14:paraId="584C53C1" w14:textId="77777777" w:rsidR="00976721" w:rsidRPr="00976721" w:rsidRDefault="00976721" w:rsidP="002915DF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Times New Roman" w:cs="Arial"/>
                <w:bCs/>
                <w:color w:val="000000" w:themeColor="text1"/>
              </w:rPr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6D58EF85" w:rsidR="00976721" w:rsidRPr="00976721" w:rsidRDefault="00976721" w:rsidP="001C0D5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2915DF">
        <w:trPr>
          <w:trHeight w:val="84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1EF8A548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2915DF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3D9A39F5" w:rsidR="00976721" w:rsidRPr="00976721" w:rsidRDefault="00976721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2915DF">
        <w:trPr>
          <w:trHeight w:val="85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2915DF">
        <w:trPr>
          <w:trHeight w:val="79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5EA58FD3" w:rsidR="00976721" w:rsidRPr="00976721" w:rsidRDefault="00976721" w:rsidP="002915DF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2915D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2915DF">
        <w:trPr>
          <w:trHeight w:val="222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108B8229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530D1B49" w:rsidR="0092263A" w:rsidRPr="0092263A" w:rsidRDefault="0092263A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C8F1796" w:rsidR="0092263A" w:rsidRPr="0092263A" w:rsidRDefault="00C07F8B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1C0D5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2915DF">
        <w:trPr>
          <w:trHeight w:val="226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1C0D5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2915DF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2915DF">
        <w:trPr>
          <w:trHeight w:val="114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2915DF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2915DF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2263A" w:rsidRDefault="0092263A" w:rsidP="002915DF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2EF47D9F" w:rsidR="0092263A" w:rsidRPr="0092263A" w:rsidRDefault="0092263A" w:rsidP="001C0D5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44B11515" w:rsidR="0092263A" w:rsidRPr="0092263A" w:rsidRDefault="001C0D5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realizáciou sa dosiahnu plánované ciele projektu.</w:t>
            </w:r>
          </w:p>
        </w:tc>
      </w:tr>
      <w:tr w:rsidR="0092263A" w:rsidRPr="00334C9E" w14:paraId="512CD2FC" w14:textId="77777777" w:rsidTr="002915DF">
        <w:trPr>
          <w:trHeight w:val="30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5131773F" w:rsidR="0092263A" w:rsidRPr="0092263A" w:rsidRDefault="001C0D5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2915DF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•charakteristický ráz územia</w:t>
            </w:r>
          </w:p>
          <w:p w14:paraId="531F70B5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kultúrny a historický ráz územia</w:t>
            </w:r>
          </w:p>
          <w:p w14:paraId="7833C3F7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miestne zvyky, gastronómia</w:t>
            </w:r>
          </w:p>
          <w:p w14:paraId="74F1D05D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2915DF">
            <w:pPr>
              <w:jc w:val="both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2915DF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2915DF">
            <w:pPr>
              <w:jc w:val="both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2915DF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2915D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71B89708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9A79FD" w:rsidRPr="00334C9E" w14:paraId="01B50E90" w14:textId="77777777" w:rsidTr="002915D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2915DF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2915DF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021859D1" w:rsidR="009A79FD" w:rsidRDefault="009A79FD" w:rsidP="00C07F8B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B3A5A06" w14:textId="77777777" w:rsidR="00C07F8B" w:rsidRPr="009A79FD" w:rsidRDefault="00C07F8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 w:rsidP="002915DF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2915DF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2915DF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2915DF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2915DF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083E198B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2915D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2915DF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5187045E" w:rsidR="009A79FD" w:rsidRDefault="009A79FD" w:rsidP="00C07F8B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6AE57401" w14:textId="77777777" w:rsidR="00C07F8B" w:rsidRPr="009A79FD" w:rsidRDefault="00C07F8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77777777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2B3059" w14:textId="77777777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43BF6ABB" w:rsidR="009A79FD" w:rsidRPr="009A79FD" w:rsidRDefault="009A79FD" w:rsidP="002915DF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C8F6AE3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77777777" w:rsidR="009A79FD" w:rsidRPr="009A79FD" w:rsidRDefault="009A79FD" w:rsidP="002915DF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77777777" w:rsidR="009A79FD" w:rsidRPr="009A79FD" w:rsidRDefault="009A79FD" w:rsidP="002915DF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2915D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237011AE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1C0D51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1C0D51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49E2D7CF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2915DF">
            <w:pPr>
              <w:jc w:val="both"/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2915D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2915DF">
            <w:pPr>
              <w:jc w:val="both"/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996843D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2915DF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915D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1E7DE9DB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r w:rsidR="00C07F8B">
              <w:rPr>
                <w:rFonts w:cs="Arial"/>
                <w:color w:val="000000" w:themeColor="text1"/>
              </w:rPr>
              <w:t>,</w:t>
            </w:r>
            <w:r w:rsidRPr="00732DFC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0D0ADCAF" w:rsidR="009A79FD" w:rsidRPr="002915DF" w:rsidRDefault="00C07F8B" w:rsidP="002915DF">
            <w:pPr>
              <w:pStyle w:val="Nadpis2"/>
              <w:outlineLvl w:val="1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2915DF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2915DF">
            <w:pPr>
              <w:pStyle w:val="Nadpis2"/>
              <w:outlineLvl w:val="1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CC1488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5F813F3D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,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636AF2E" w:rsidR="009A79FD" w:rsidRPr="00334C9E" w:rsidRDefault="00C07F8B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7C63E85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,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1AEB3E85" w:rsidR="009A79FD" w:rsidRPr="00334C9E" w:rsidRDefault="00C07F8B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1FD54200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, 4, </w:t>
            </w: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4DCA40BE" w:rsidR="009A79FD" w:rsidRPr="00334C9E" w:rsidRDefault="00C07F8B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B1C7E23" w:rsidR="00DD6266" w:rsidRPr="004108F8" w:rsidRDefault="00DD6266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108F8">
              <w:rPr>
                <w:rFonts w:cs="Arial"/>
                <w:b/>
                <w:color w:val="000000" w:themeColor="text1"/>
              </w:rPr>
              <w:t xml:space="preserve">Celkový maximálne dosiahnuteľný počet bodov                                                                                                            </w:t>
            </w:r>
            <w:r w:rsidR="00CC1488">
              <w:rPr>
                <w:rFonts w:cs="Arial"/>
                <w:b/>
                <w:color w:val="000000" w:themeColor="text1"/>
              </w:rPr>
              <w:t>14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156D3677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CC1488">
        <w:rPr>
          <w:rFonts w:cs="Arial"/>
          <w:b/>
          <w:color w:val="000000" w:themeColor="text1"/>
        </w:rPr>
        <w:t>9</w:t>
      </w:r>
      <w:r w:rsidR="00DD6266" w:rsidRPr="004108F8">
        <w:rPr>
          <w:rFonts w:cs="Arial"/>
          <w:b/>
          <w:color w:val="000000" w:themeColor="text1"/>
        </w:rPr>
        <w:t xml:space="preserve"> 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5351BF28" w:rsidR="00607288" w:rsidRPr="00A42D69" w:rsidRDefault="00325BD2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07F8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159AD2E8" w:rsidR="00607288" w:rsidRPr="00A42D69" w:rsidRDefault="00325BD2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58214F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tavecseseznamem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CC14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FCD93" w14:textId="77777777" w:rsidR="00325BD2" w:rsidRDefault="00325BD2" w:rsidP="006447D5">
      <w:pPr>
        <w:spacing w:after="0" w:line="240" w:lineRule="auto"/>
      </w:pPr>
      <w:r>
        <w:separator/>
      </w:r>
    </w:p>
  </w:endnote>
  <w:endnote w:type="continuationSeparator" w:id="0">
    <w:p w14:paraId="1FACD87D" w14:textId="77777777" w:rsidR="00325BD2" w:rsidRDefault="00325BD2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236DE" w14:textId="77777777" w:rsidR="00A02079" w:rsidRDefault="00A020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0BA1E" w14:textId="77777777" w:rsidR="00A02079" w:rsidRDefault="00A020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897A" w14:textId="63D02E23" w:rsidR="00041014" w:rsidRDefault="0017439E" w:rsidP="00041014">
    <w:pPr>
      <w:pStyle w:val="Zpat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77777777" w:rsidR="00041014" w:rsidRPr="00041014" w:rsidRDefault="00041014" w:rsidP="00041014">
    <w:pPr>
      <w:pStyle w:val="Zpat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157279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03D5B" w14:textId="77777777" w:rsidR="00325BD2" w:rsidRDefault="00325BD2" w:rsidP="006447D5">
      <w:pPr>
        <w:spacing w:after="0" w:line="240" w:lineRule="auto"/>
      </w:pPr>
      <w:r>
        <w:separator/>
      </w:r>
    </w:p>
  </w:footnote>
  <w:footnote w:type="continuationSeparator" w:id="0">
    <w:p w14:paraId="34618D2A" w14:textId="77777777" w:rsidR="00325BD2" w:rsidRDefault="00325BD2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648CE" w14:textId="77777777" w:rsidR="00A02079" w:rsidRDefault="00A020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BAB90" w14:textId="77777777" w:rsidR="00A02079" w:rsidRDefault="00A020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C5EE6" w14:textId="5622C321" w:rsidR="00A70827" w:rsidRDefault="00CC1488" w:rsidP="00CC1488">
    <w:pPr>
      <w:ind w:left="2832" w:firstLine="8083"/>
    </w:pPr>
    <w:r w:rsidRPr="00CC1488">
      <w:t xml:space="preserve">Príloha č. 4 výzvy – Kritériá na výber projektov </w:t>
    </w:r>
  </w:p>
  <w:p w14:paraId="4FE15440" w14:textId="0EA4B0C4" w:rsidR="00E5263D" w:rsidRPr="00A70827" w:rsidRDefault="00A02079" w:rsidP="00A02079">
    <w:pPr>
      <w:pStyle w:val="Zhlav"/>
      <w:tabs>
        <w:tab w:val="clear" w:pos="9360"/>
        <w:tab w:val="right" w:pos="8647"/>
      </w:tabs>
      <w:ind w:firstLine="2127"/>
      <w:rPr>
        <w:rFonts w:ascii="Arial Narrow" w:hAnsi="Arial Narrow"/>
        <w:sz w:val="20"/>
      </w:rPr>
    </w:pP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6E11B391">
          <wp:simplePos x="0" y="0"/>
          <wp:positionH relativeFrom="column">
            <wp:posOffset>812800</wp:posOffset>
          </wp:positionH>
          <wp:positionV relativeFrom="paragraph">
            <wp:posOffset>142240</wp:posOffset>
          </wp:positionV>
          <wp:extent cx="647700" cy="598170"/>
          <wp:effectExtent l="0" t="0" r="0" b="0"/>
          <wp:wrapNone/>
          <wp:docPr id="14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98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</w:rPr>
      <w:drawing>
        <wp:inline distT="0" distB="0" distL="0" distR="0" wp14:anchorId="4F90B850" wp14:editId="2281653C">
          <wp:extent cx="1853565" cy="6540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25991127">
          <wp:simplePos x="0" y="0"/>
          <wp:positionH relativeFrom="column">
            <wp:posOffset>2961005</wp:posOffset>
          </wp:positionH>
          <wp:positionV relativeFrom="paragraph">
            <wp:posOffset>269875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2C015A59">
          <wp:simplePos x="0" y="0"/>
          <wp:positionH relativeFrom="column">
            <wp:posOffset>7633335</wp:posOffset>
          </wp:positionH>
          <wp:positionV relativeFrom="paragraph">
            <wp:posOffset>169545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439E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7B869FEA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311502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5CA0D527" w:rsidR="00E5263D" w:rsidRPr="001D5D3D" w:rsidRDefault="00E5263D" w:rsidP="001D5D3D">
    <w:pPr>
      <w:pStyle w:val="Zhlav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6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21"/>
  </w:num>
  <w:num w:numId="15">
    <w:abstractNumId w:val="13"/>
  </w:num>
  <w:num w:numId="16">
    <w:abstractNumId w:val="8"/>
  </w:num>
  <w:num w:numId="17">
    <w:abstractNumId w:val="18"/>
  </w:num>
  <w:num w:numId="18">
    <w:abstractNumId w:val="27"/>
  </w:num>
  <w:num w:numId="19">
    <w:abstractNumId w:val="23"/>
  </w:num>
  <w:num w:numId="20">
    <w:abstractNumId w:val="2"/>
  </w:num>
  <w:num w:numId="21">
    <w:abstractNumId w:val="1"/>
  </w:num>
  <w:num w:numId="22">
    <w:abstractNumId w:val="31"/>
  </w:num>
  <w:num w:numId="23">
    <w:abstractNumId w:val="6"/>
  </w:num>
  <w:num w:numId="24">
    <w:abstractNumId w:val="31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0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  <w:num w:numId="35">
    <w:abstractNumId w:val="20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93953"/>
    <w:rsid w:val="001A0BEE"/>
    <w:rsid w:val="001B0ED2"/>
    <w:rsid w:val="001B3ED7"/>
    <w:rsid w:val="001C0D51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15DF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BD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2079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07F8B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6CC8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5A71"/>
  </w:style>
  <w:style w:type="paragraph" w:styleId="Nadpis1">
    <w:name w:val="heading 1"/>
    <w:basedOn w:val="Normln"/>
    <w:next w:val="Normln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body,Odsek zoznamu2,List Paragraph,Odstavec se seznamem1"/>
    <w:basedOn w:val="Normln"/>
    <w:link w:val="Odstavecseseznamem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body Char,Odsek zoznamu2 Char,List Paragraph Char,Odstavec se seznamem1 Char"/>
    <w:link w:val="Odstavecseseznamem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">
    <w:name w:val="annotation reference"/>
    <w:basedOn w:val="Standardnpsmoodstavce"/>
    <w:uiPriority w:val="99"/>
    <w:unhideWhenUsed/>
    <w:rsid w:val="004B5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5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web">
    <w:name w:val="Normal (Web)"/>
    <w:basedOn w:val="Normln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hlav">
    <w:name w:val="header"/>
    <w:basedOn w:val="Normln"/>
    <w:link w:val="Zhlav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BB6"/>
  </w:style>
  <w:style w:type="paragraph" w:styleId="Zpat">
    <w:name w:val="footer"/>
    <w:basedOn w:val="Normln"/>
    <w:link w:val="Zpat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BB6"/>
  </w:style>
  <w:style w:type="table" w:customStyle="1" w:styleId="TableGrid1">
    <w:name w:val="Table Grid1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3B9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9662C0"/>
    <w:rPr>
      <w:color w:val="808080"/>
    </w:rPr>
  </w:style>
  <w:style w:type="paragraph" w:styleId="Revize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0B71EE"/>
    <w:rsid w:val="00163B11"/>
    <w:rsid w:val="001C649A"/>
    <w:rsid w:val="0021149F"/>
    <w:rsid w:val="00212C3B"/>
    <w:rsid w:val="005A4146"/>
    <w:rsid w:val="006B3B1E"/>
    <w:rsid w:val="00961741"/>
    <w:rsid w:val="00AD089D"/>
    <w:rsid w:val="00B20F1E"/>
    <w:rsid w:val="00B874A2"/>
    <w:rsid w:val="00BB08B9"/>
    <w:rsid w:val="00BD4DD8"/>
    <w:rsid w:val="00C7603E"/>
    <w:rsid w:val="00CA0D69"/>
    <w:rsid w:val="00EA7464"/>
    <w:rsid w:val="00F60CBA"/>
    <w:rsid w:val="00F9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FAC27-E641-4C58-811E-C8F4A5B9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1465</Words>
  <Characters>8355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2020-03-16T19:54:00Z</dcterms:created>
  <dcterms:modified xsi:type="dcterms:W3CDTF">2020-10-09T11:40:00Z</dcterms:modified>
</cp:coreProperties>
</file>